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3A76" w:rsidRDefault="007E27D8">
      <w:pPr>
        <w:jc w:val="center"/>
        <w:rPr>
          <w:rFonts w:ascii="Helvetica Neue" w:eastAsia="Helvetica Neue" w:hAnsi="Helvetica Neue" w:cs="Helvetica Neue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09972" cy="2243138"/>
            <wp:effectExtent l="0" t="0" r="0" b="0"/>
            <wp:docPr id="1" name="image01.png" descr="https://lh3.googleusercontent.com/tv3AHPTMMFYzgV2h_Q2DzzKA5SNZUjislybuy2AIY0VGgKyPifgEkJygbWh3AbiB8Z_J7kMrbxPH3T3JlcC-MnGi2iykuyiN2wEUpPTuczWQabTSEyTGDcoWtJ1Z7_Gfh0Z_F1xqFx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3.googleusercontent.com/tv3AHPTMMFYzgV2h_Q2DzzKA5SNZUjislybuy2AIY0VGgKyPifgEkJygbWh3AbiB8Z_J7kMrbxPH3T3JlcC-MnGi2iykuyiN2wEUpPTuczWQabTSEyTGDcoWtJ1Z7_Gfh0Z_F1xqFx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972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3A76" w:rsidRDefault="007E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sz w:val="32"/>
          <w:szCs w:val="32"/>
        </w:rPr>
        <w:t xml:space="preserve">Invites you to attend its </w:t>
      </w:r>
      <w:r>
        <w:rPr>
          <w:rFonts w:ascii="Helvetica Neue" w:eastAsia="Helvetica Neue" w:hAnsi="Helvetica Neue" w:cs="Helvetica Neue"/>
          <w:sz w:val="32"/>
          <w:szCs w:val="32"/>
        </w:rPr>
        <w:t>10</w:t>
      </w:r>
      <w:r>
        <w:rPr>
          <w:rFonts w:ascii="Helvetica Neue" w:eastAsia="Helvetica Neue" w:hAnsi="Helvetica Neue" w:cs="Helvetica Neue"/>
          <w:sz w:val="32"/>
          <w:szCs w:val="32"/>
        </w:rPr>
        <w:t>th Annual</w:t>
      </w:r>
    </w:p>
    <w:p w:rsidR="00953A76" w:rsidRDefault="007E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One-day Teaching Conference</w:t>
      </w:r>
    </w:p>
    <w:p w:rsidR="00953A76" w:rsidRDefault="0095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A76" w:rsidRDefault="007E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 xml:space="preserve">Saturday, </w:t>
      </w:r>
      <w:r>
        <w:rPr>
          <w:rFonts w:ascii="Rokkitt" w:eastAsia="Rokkitt" w:hAnsi="Rokkitt" w:cs="Rokkitt"/>
          <w:sz w:val="24"/>
          <w:szCs w:val="24"/>
        </w:rPr>
        <w:t>April 29, 2017</w:t>
      </w:r>
    </w:p>
    <w:p w:rsidR="00953A76" w:rsidRDefault="007E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8:30</w:t>
      </w:r>
      <w:r>
        <w:rPr>
          <w:rFonts w:ascii="Rokkitt" w:eastAsia="Rokkitt" w:hAnsi="Rokkitt" w:cs="Rokkitt"/>
          <w:sz w:val="24"/>
          <w:szCs w:val="24"/>
        </w:rPr>
        <w:t xml:space="preserve"> AM - 3:30 PM</w:t>
      </w:r>
    </w:p>
    <w:p w:rsidR="00953A76" w:rsidRDefault="007E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Sign-in and Registration begins at 8:15</w:t>
      </w:r>
    </w:p>
    <w:p w:rsidR="00953A76" w:rsidRDefault="007E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Indian Community School</w:t>
      </w:r>
    </w:p>
    <w:p w:rsidR="00953A76" w:rsidRDefault="007E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10405 W. St. Martins Rd - Franklin, WI  53132</w:t>
      </w:r>
    </w:p>
    <w:p w:rsidR="00953A76" w:rsidRDefault="00953A76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953A76" w:rsidRDefault="007E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Keynote Speaker: </w:t>
      </w:r>
      <w:r>
        <w:rPr>
          <w:rFonts w:ascii="Helvetica Neue" w:eastAsia="Helvetica Neue" w:hAnsi="Helvetica Neue" w:cs="Helvetica Neue"/>
          <w:b/>
          <w:sz w:val="28"/>
          <w:szCs w:val="28"/>
        </w:rPr>
        <w:t>Patty Loew</w:t>
      </w:r>
    </w:p>
    <w:p w:rsidR="00953A76" w:rsidRDefault="007E27D8">
      <w:pP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Patty Loew is a professor in the Department of Life Sciences Communication and affiliated with </w:t>
      </w:r>
      <w:hyperlink r:id="rId5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American Indian Studies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 the </w:t>
      </w:r>
      <w:hyperlink r:id="rId6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Nelson Institute for Environmental Studi</w:t>
        </w:r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es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 and the </w:t>
      </w:r>
      <w:hyperlink r:id="rId7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School of Human Ecology Center for Community and Nonprofit Studies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. A member of the Bad River Band of the Lake Superior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Ojibwe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, Patty i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s particularly interested in how indigenous people use the media to form identity, reconstruct the past, and assert their sovereignty and treaty rights. She has authored several books: “</w:t>
      </w:r>
      <w:hyperlink r:id="rId8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Native People of Wisconsin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,” a social studies text used by 15,000 elementary school children, a newly revised and expanded edition of “</w:t>
      </w:r>
      <w:hyperlink r:id="rId9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Indian Nations of</w:t>
        </w:r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 xml:space="preserve"> Wisconsin: Histories of Endurance and Renewal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,” and a collection of biographies of Native American environmental leaders, “</w:t>
      </w:r>
      <w:hyperlink r:id="rId10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Seventh Generation Earth Ethics: Native Voice</w:t>
        </w:r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s of Wisconsin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,” </w:t>
      </w:r>
    </w:p>
    <w:p w:rsidR="00953A76" w:rsidRDefault="007E27D8">
      <w:pP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To see a listing of workshops, please visit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www.ensj.weebly.com</w:t>
        </w:r>
      </w:hyperlink>
    </w:p>
    <w:p w:rsidR="00953A76" w:rsidRDefault="00953A76">
      <w:pP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</w:pPr>
    </w:p>
    <w:p w:rsidR="00953A76" w:rsidRDefault="007E27D8">
      <w:pPr>
        <w:spacing w:after="0"/>
        <w:jc w:val="center"/>
        <w:rPr>
          <w:rFonts w:ascii="Times New Roman" w:eastAsia="Times New Roman" w:hAnsi="Times New Roman" w:cs="Times New Roman"/>
          <w:b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ENSJ Appreciates our Sponsors</w:t>
      </w:r>
    </w:p>
    <w:p w:rsidR="00953A76" w:rsidRDefault="007E27D8">
      <w:pPr>
        <w:spacing w:after="0"/>
        <w:jc w:val="center"/>
        <w:rPr>
          <w:rFonts w:ascii="Times New Roman" w:eastAsia="Times New Roman" w:hAnsi="Times New Roman" w:cs="Times New Roman"/>
          <w:color w:val="333333"/>
          <w:highlight w:val="white"/>
        </w:rPr>
      </w:pPr>
      <w:r>
        <w:rPr>
          <w:rFonts w:ascii="Times New Roman" w:eastAsia="Times New Roman" w:hAnsi="Times New Roman" w:cs="Times New Roman"/>
          <w:color w:val="252525"/>
          <w:highlight w:val="white"/>
        </w:rPr>
        <w:t xml:space="preserve">Indian Community School, Milwaukee Teachers Education Association, </w:t>
      </w:r>
      <w:proofErr w:type="spellStart"/>
      <w:r>
        <w:rPr>
          <w:rFonts w:ascii="Times New Roman" w:eastAsia="Times New Roman" w:hAnsi="Times New Roman" w:cs="Times New Roman"/>
          <w:color w:val="252525"/>
          <w:highlight w:val="white"/>
        </w:rPr>
        <w:t>Colectivo</w:t>
      </w:r>
      <w:proofErr w:type="spellEnd"/>
      <w:r>
        <w:rPr>
          <w:rFonts w:ascii="Times New Roman" w:eastAsia="Times New Roman" w:hAnsi="Times New Roman" w:cs="Times New Roman"/>
          <w:color w:val="252525"/>
          <w:highlight w:val="white"/>
        </w:rPr>
        <w:t xml:space="preserve"> Coffee,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Wisconsin Education Association Council, Rockford Education Association, WEA Academy, Rethinking Schools</w:t>
      </w:r>
    </w:p>
    <w:p w:rsidR="00953A76" w:rsidRDefault="00953A76">
      <w:pPr>
        <w:jc w:val="center"/>
        <w:rPr>
          <w:rFonts w:ascii="Times New Roman" w:eastAsia="Times New Roman" w:hAnsi="Times New Roman" w:cs="Times New Roman"/>
          <w:color w:val="2A2A2A"/>
          <w:highlight w:val="white"/>
        </w:rPr>
      </w:pPr>
    </w:p>
    <w:p w:rsidR="00953A76" w:rsidRDefault="00953A76">
      <w:pPr>
        <w:spacing w:after="0" w:line="240" w:lineRule="auto"/>
        <w:rPr>
          <w:rFonts w:ascii="Rokkitt" w:eastAsia="Rokkitt" w:hAnsi="Rokkitt" w:cs="Rokkitt"/>
          <w:b/>
        </w:rPr>
      </w:pPr>
    </w:p>
    <w:p w:rsidR="00953A76" w:rsidRDefault="00953A76">
      <w:pPr>
        <w:spacing w:after="0" w:line="240" w:lineRule="auto"/>
        <w:rPr>
          <w:rFonts w:ascii="Rokkitt" w:eastAsia="Rokkitt" w:hAnsi="Rokkitt" w:cs="Rokkitt"/>
          <w:b/>
          <w:sz w:val="24"/>
          <w:szCs w:val="24"/>
        </w:rPr>
      </w:pPr>
    </w:p>
    <w:p w:rsidR="00953A76" w:rsidRDefault="007E27D8">
      <w:pPr>
        <w:spacing w:after="0" w:line="240" w:lineRule="auto"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b/>
          <w:sz w:val="24"/>
          <w:szCs w:val="24"/>
        </w:rPr>
        <w:lastRenderedPageBreak/>
        <w:t xml:space="preserve">Register Online:   </w:t>
      </w:r>
      <w:hyperlink r:id="rId12">
        <w:r>
          <w:rPr>
            <w:rFonts w:ascii="Rokkitt" w:eastAsia="Rokkitt" w:hAnsi="Rokkitt" w:cs="Rokkitt"/>
            <w:color w:val="1155CC"/>
            <w:sz w:val="24"/>
            <w:szCs w:val="24"/>
            <w:u w:val="single"/>
          </w:rPr>
          <w:t>www.ensj.weebly.com</w:t>
        </w:r>
      </w:hyperlink>
      <w:r>
        <w:rPr>
          <w:rFonts w:ascii="Rokkitt" w:eastAsia="Rokkitt" w:hAnsi="Rokkitt" w:cs="Rokkitt"/>
          <w:sz w:val="24"/>
          <w:szCs w:val="24"/>
        </w:rPr>
        <w:t xml:space="preserve"> </w:t>
      </w:r>
      <w:r>
        <w:rPr>
          <w:rFonts w:ascii="Rokkitt" w:eastAsia="Rokkitt" w:hAnsi="Rokkitt" w:cs="Rokkitt"/>
          <w:sz w:val="24"/>
          <w:szCs w:val="24"/>
        </w:rPr>
        <w:tab/>
      </w:r>
      <w:r>
        <w:rPr>
          <w:rFonts w:ascii="Rokkitt" w:eastAsia="Rokkitt" w:hAnsi="Rokkitt" w:cs="Rokkitt"/>
          <w:sz w:val="24"/>
          <w:szCs w:val="24"/>
        </w:rPr>
        <w:tab/>
        <w:t xml:space="preserve">OR </w:t>
      </w:r>
      <w:r>
        <w:rPr>
          <w:rFonts w:ascii="Rokkitt" w:eastAsia="Rokkitt" w:hAnsi="Rokkitt" w:cs="Rokkitt"/>
          <w:sz w:val="24"/>
          <w:szCs w:val="24"/>
        </w:rPr>
        <w:tab/>
      </w:r>
      <w:r>
        <w:rPr>
          <w:rFonts w:ascii="Rokkitt" w:eastAsia="Rokkitt" w:hAnsi="Rokkitt" w:cs="Rokkitt"/>
          <w:sz w:val="24"/>
          <w:szCs w:val="24"/>
        </w:rPr>
        <w:tab/>
      </w:r>
      <w:r>
        <w:rPr>
          <w:rFonts w:ascii="Rokkitt" w:eastAsia="Rokkitt" w:hAnsi="Rokkitt" w:cs="Rokkitt"/>
          <w:b/>
          <w:sz w:val="24"/>
          <w:szCs w:val="24"/>
        </w:rPr>
        <w:t xml:space="preserve">Mail </w:t>
      </w:r>
      <w:r>
        <w:rPr>
          <w:rFonts w:ascii="Rokkitt" w:eastAsia="Rokkitt" w:hAnsi="Rokkitt" w:cs="Rokkitt"/>
          <w:b/>
          <w:sz w:val="24"/>
          <w:szCs w:val="24"/>
        </w:rPr>
        <w:t>form below</w:t>
      </w:r>
      <w:r>
        <w:rPr>
          <w:rFonts w:ascii="Rokkitt" w:eastAsia="Rokkitt" w:hAnsi="Rokkitt" w:cs="Rokkitt"/>
          <w:b/>
          <w:sz w:val="24"/>
          <w:szCs w:val="24"/>
        </w:rPr>
        <w:t xml:space="preserve"> to: </w:t>
      </w:r>
      <w:r>
        <w:rPr>
          <w:rFonts w:ascii="Rokkitt" w:eastAsia="Rokkitt" w:hAnsi="Rokkitt" w:cs="Rokkitt"/>
          <w:b/>
          <w:sz w:val="24"/>
          <w:szCs w:val="24"/>
        </w:rPr>
        <w:tab/>
      </w:r>
      <w:r>
        <w:rPr>
          <w:rFonts w:ascii="Rokkitt" w:eastAsia="Rokkitt" w:hAnsi="Rokkitt" w:cs="Rokkitt"/>
          <w:b/>
          <w:sz w:val="24"/>
          <w:szCs w:val="24"/>
        </w:rPr>
        <w:tab/>
      </w:r>
      <w:r>
        <w:rPr>
          <w:rFonts w:ascii="Rokkitt" w:eastAsia="Rokkitt" w:hAnsi="Rokkitt" w:cs="Rokkitt"/>
          <w:b/>
          <w:sz w:val="24"/>
          <w:szCs w:val="24"/>
        </w:rPr>
        <w:tab/>
      </w:r>
      <w:r>
        <w:rPr>
          <w:rFonts w:ascii="Rokkitt" w:eastAsia="Rokkitt" w:hAnsi="Rokkitt" w:cs="Rokkitt"/>
          <w:b/>
          <w:sz w:val="24"/>
          <w:szCs w:val="24"/>
        </w:rPr>
        <w:tab/>
      </w:r>
      <w:r>
        <w:rPr>
          <w:rFonts w:ascii="Rokkitt" w:eastAsia="Rokkitt" w:hAnsi="Rokkitt" w:cs="Rokkitt"/>
          <w:b/>
          <w:sz w:val="24"/>
          <w:szCs w:val="24"/>
        </w:rPr>
        <w:tab/>
      </w:r>
    </w:p>
    <w:p w:rsidR="00953A76" w:rsidRDefault="007E27D8">
      <w:pPr>
        <w:spacing w:after="0" w:line="240" w:lineRule="auto"/>
        <w:ind w:left="6480"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Judy Gundry</w:t>
      </w:r>
    </w:p>
    <w:p w:rsidR="00953A76" w:rsidRDefault="007E27D8">
      <w:pPr>
        <w:spacing w:after="0" w:line="240" w:lineRule="auto"/>
        <w:ind w:left="6480"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One Day Teaching</w:t>
      </w:r>
      <w:r>
        <w:rPr>
          <w:rFonts w:ascii="Rokkitt" w:eastAsia="Rokkitt" w:hAnsi="Rokkitt" w:cs="Rokkitt"/>
          <w:sz w:val="24"/>
          <w:szCs w:val="24"/>
        </w:rPr>
        <w:t xml:space="preserve"> Conference</w:t>
      </w:r>
    </w:p>
    <w:p w:rsidR="00953A76" w:rsidRDefault="007E27D8">
      <w:pPr>
        <w:spacing w:after="0" w:line="240" w:lineRule="auto"/>
        <w:ind w:left="6480"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6718 W. Chambers</w:t>
      </w:r>
    </w:p>
    <w:p w:rsidR="00953A76" w:rsidRDefault="007E27D8">
      <w:pPr>
        <w:tabs>
          <w:tab w:val="left" w:pos="2432"/>
          <w:tab w:val="left" w:pos="6960"/>
        </w:tabs>
        <w:spacing w:after="0" w:line="240" w:lineRule="auto"/>
        <w:ind w:left="6480"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Milwaukee, WI 53210</w:t>
      </w:r>
      <w:r>
        <w:rPr>
          <w:rFonts w:ascii="Rokkitt" w:eastAsia="Rokkitt" w:hAnsi="Rokkitt" w:cs="Rokkitt"/>
          <w:sz w:val="24"/>
          <w:szCs w:val="24"/>
        </w:rPr>
        <w:tab/>
      </w:r>
    </w:p>
    <w:p w:rsidR="00953A76" w:rsidRDefault="007E27D8">
      <w:pPr>
        <w:tabs>
          <w:tab w:val="left" w:pos="2432"/>
          <w:tab w:val="left" w:pos="6960"/>
        </w:tabs>
        <w:spacing w:after="0" w:line="240" w:lineRule="auto"/>
        <w:rPr>
          <w:rFonts w:ascii="Rokkitt" w:eastAsia="Rokkitt" w:hAnsi="Rokkitt" w:cs="Rokkitt"/>
        </w:rPr>
      </w:pPr>
      <w:r>
        <w:rPr>
          <w:rFonts w:ascii="Rokkitt" w:eastAsia="Rokkitt" w:hAnsi="Rokkitt" w:cs="Rokkitt"/>
        </w:rPr>
        <w:tab/>
      </w:r>
    </w:p>
    <w:tbl>
      <w:tblPr>
        <w:tblStyle w:val="a0"/>
        <w:tblW w:w="9645" w:type="dxa"/>
        <w:tblInd w:w="-115" w:type="dxa"/>
        <w:tblBorders>
          <w:top w:val="single" w:sz="8" w:space="0" w:color="4F81BD"/>
          <w:bottom w:val="single" w:sz="8" w:space="0" w:color="4F81BD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953A76" w:rsidTr="00953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tcBorders>
              <w:top w:val="nil"/>
              <w:bottom w:val="nil"/>
            </w:tcBorders>
          </w:tcPr>
          <w:p w:rsidR="00953A76" w:rsidRDefault="007E27D8">
            <w:pPr>
              <w:widowControl w:val="0"/>
              <w:spacing w:line="276" w:lineRule="auto"/>
              <w:rPr>
                <w:rFonts w:ascii="Rokkitt" w:eastAsia="Rokkitt" w:hAnsi="Rokkitt" w:cs="Rokkitt"/>
                <w:color w:val="000000"/>
                <w:sz w:val="24"/>
                <w:szCs w:val="24"/>
              </w:rPr>
            </w:pPr>
            <w:r>
              <w:rPr>
                <w:rFonts w:ascii="Rokkitt" w:eastAsia="Rokkitt" w:hAnsi="Rokkitt" w:cs="Rokkitt"/>
                <w:color w:val="000000"/>
                <w:sz w:val="24"/>
                <w:szCs w:val="24"/>
              </w:rPr>
              <w:t>Name:</w:t>
            </w:r>
          </w:p>
          <w:p w:rsidR="00953A76" w:rsidRDefault="007E27D8">
            <w:pPr>
              <w:widowControl w:val="0"/>
              <w:spacing w:line="276" w:lineRule="auto"/>
              <w:rPr>
                <w:rFonts w:ascii="Rokkitt" w:eastAsia="Rokkitt" w:hAnsi="Rokkitt" w:cs="Rokkitt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53A76" w:rsidRDefault="007E27D8">
            <w:pPr>
              <w:widowControl w:val="0"/>
              <w:spacing w:line="276" w:lineRule="auto"/>
              <w:rPr>
                <w:rFonts w:ascii="Rokkitt" w:eastAsia="Rokkitt" w:hAnsi="Rokkitt" w:cs="Rokkitt"/>
                <w:color w:val="000000"/>
                <w:sz w:val="24"/>
                <w:szCs w:val="24"/>
              </w:rPr>
            </w:pPr>
            <w:r>
              <w:rPr>
                <w:rFonts w:ascii="Rokkitt" w:eastAsia="Rokkitt" w:hAnsi="Rokkitt" w:cs="Rokkitt"/>
                <w:color w:val="000000"/>
                <w:sz w:val="24"/>
                <w:szCs w:val="24"/>
              </w:rPr>
              <w:t>Address:</w:t>
            </w:r>
          </w:p>
          <w:p w:rsidR="00953A76" w:rsidRDefault="007E27D8">
            <w:pPr>
              <w:widowControl w:val="0"/>
              <w:spacing w:line="276" w:lineRule="auto"/>
              <w:rPr>
                <w:rFonts w:ascii="Rokkitt" w:eastAsia="Rokkitt" w:hAnsi="Rokkitt" w:cs="Rokkitt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Style w:val="a"/>
              <w:tblW w:w="942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0"/>
            </w:tblGrid>
            <w:tr w:rsidR="00953A76" w:rsidTr="00953A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20" w:type="dxa"/>
                  <w:tcBorders>
                    <w:top w:val="nil"/>
                    <w:bottom w:val="nil"/>
                  </w:tcBorders>
                </w:tcPr>
                <w:p w:rsidR="00953A76" w:rsidRDefault="007E27D8">
                  <w:pPr>
                    <w:rPr>
                      <w:rFonts w:ascii="Rokkitt" w:eastAsia="Rokkitt" w:hAnsi="Rokkitt" w:cs="Rokkitt"/>
                      <w:sz w:val="24"/>
                      <w:szCs w:val="24"/>
                    </w:rPr>
                  </w:pPr>
                  <w:r>
                    <w:rPr>
                      <w:rFonts w:ascii="Rokkitt" w:eastAsia="Rokkitt" w:hAnsi="Rokkitt" w:cs="Rokkitt"/>
                      <w:sz w:val="24"/>
                      <w:szCs w:val="24"/>
                    </w:rPr>
                    <w:t>School or organization:</w:t>
                  </w:r>
                </w:p>
                <w:p w:rsidR="00953A76" w:rsidRDefault="007E27D8">
                  <w:pPr>
                    <w:rPr>
                      <w:rFonts w:ascii="Rokkitt" w:eastAsia="Rokkitt" w:hAnsi="Rokkitt" w:cs="Rokkitt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953A76" w:rsidTr="00953A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20" w:type="dxa"/>
                  <w:tcBorders>
                    <w:top w:val="nil"/>
                    <w:bottom w:val="nil"/>
                  </w:tcBorders>
                </w:tcPr>
                <w:p w:rsidR="00953A76" w:rsidRDefault="007E27D8">
                  <w:pPr>
                    <w:rPr>
                      <w:rFonts w:ascii="Rokkitt" w:eastAsia="Rokkitt" w:hAnsi="Rokkitt" w:cs="Rokkitt"/>
                      <w:sz w:val="24"/>
                      <w:szCs w:val="24"/>
                    </w:rPr>
                  </w:pPr>
                  <w:r>
                    <w:rPr>
                      <w:rFonts w:ascii="Rokkitt" w:eastAsia="Rokkitt" w:hAnsi="Rokkitt" w:cs="Rokkitt"/>
                      <w:sz w:val="24"/>
                      <w:szCs w:val="24"/>
                    </w:rPr>
                    <w:t>Email:</w:t>
                  </w:r>
                </w:p>
                <w:p w:rsidR="00953A76" w:rsidRDefault="007E27D8">
                  <w:pPr>
                    <w:rPr>
                      <w:rFonts w:ascii="Rokkitt" w:eastAsia="Rokkitt" w:hAnsi="Rokkitt" w:cs="Rokkitt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</w:tbl>
          <w:p w:rsidR="00953A76" w:rsidRDefault="00953A76">
            <w:pPr>
              <w:rPr>
                <w:rFonts w:ascii="Rokkitt" w:eastAsia="Rokkitt" w:hAnsi="Rokkitt" w:cs="Rokkitt"/>
                <w:sz w:val="24"/>
                <w:szCs w:val="24"/>
              </w:rPr>
            </w:pPr>
          </w:p>
        </w:tc>
      </w:tr>
    </w:tbl>
    <w:p w:rsidR="00953A76" w:rsidRDefault="007E27D8">
      <w:pPr>
        <w:widowControl w:val="0"/>
        <w:spacing w:after="0" w:line="240" w:lineRule="auto"/>
        <w:rPr>
          <w:rFonts w:ascii="Rokkitt" w:eastAsia="Rokkitt" w:hAnsi="Rokkitt" w:cs="Rokkitt"/>
          <w:b/>
          <w:sz w:val="24"/>
          <w:szCs w:val="24"/>
        </w:rPr>
      </w:pPr>
      <w:r>
        <w:rPr>
          <w:rFonts w:ascii="Rokkitt" w:eastAsia="Rokkitt" w:hAnsi="Rokkitt" w:cs="Rokkitt"/>
          <w:b/>
          <w:sz w:val="24"/>
          <w:szCs w:val="24"/>
        </w:rPr>
        <w:t>Please check:</w:t>
      </w:r>
    </w:p>
    <w:p w:rsidR="00953A76" w:rsidRDefault="007E27D8">
      <w:pPr>
        <w:widowControl w:val="0"/>
        <w:spacing w:after="0" w:line="240" w:lineRule="auto"/>
        <w:rPr>
          <w:rFonts w:ascii="Rokkitt" w:eastAsia="Rokkitt" w:hAnsi="Rokkitt" w:cs="Rokkitt"/>
          <w:b/>
          <w:sz w:val="24"/>
          <w:szCs w:val="24"/>
        </w:rPr>
      </w:pPr>
      <w:r>
        <w:rPr>
          <w:rFonts w:ascii="Rokkitt" w:eastAsia="Rokkitt" w:hAnsi="Rokkitt" w:cs="Rokkitt"/>
          <w:b/>
          <w:sz w:val="24"/>
          <w:szCs w:val="24"/>
        </w:rPr>
        <w:t xml:space="preserve">Before April 22nd </w:t>
      </w:r>
    </w:p>
    <w:p w:rsidR="00953A76" w:rsidRDefault="007E27D8">
      <w:pPr>
        <w:widowControl w:val="0"/>
        <w:spacing w:after="0" w:line="240" w:lineRule="auto"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_______$35 for individual educator, administrator, parent, or community member</w:t>
      </w:r>
    </w:p>
    <w:p w:rsidR="00953A76" w:rsidRDefault="007E27D8">
      <w:pPr>
        <w:widowControl w:val="0"/>
        <w:spacing w:after="0" w:line="240" w:lineRule="auto"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_______$150 for 5 educators, administrators, parents, and/or community members</w:t>
      </w:r>
    </w:p>
    <w:p w:rsidR="00953A76" w:rsidRDefault="007E27D8">
      <w:pPr>
        <w:widowControl w:val="0"/>
        <w:spacing w:after="0" w:line="240" w:lineRule="auto"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 xml:space="preserve">_______$20 for undergraduate or high school students </w:t>
      </w:r>
    </w:p>
    <w:p w:rsidR="00953A76" w:rsidRDefault="00953A76">
      <w:pPr>
        <w:widowControl w:val="0"/>
        <w:spacing w:after="0" w:line="240" w:lineRule="auto"/>
        <w:rPr>
          <w:rFonts w:ascii="Rokkitt" w:eastAsia="Rokkitt" w:hAnsi="Rokkitt" w:cs="Rokkitt"/>
          <w:b/>
          <w:sz w:val="24"/>
          <w:szCs w:val="24"/>
        </w:rPr>
      </w:pPr>
    </w:p>
    <w:p w:rsidR="00953A76" w:rsidRDefault="007E27D8">
      <w:pPr>
        <w:widowControl w:val="0"/>
        <w:spacing w:after="0" w:line="240" w:lineRule="auto"/>
        <w:rPr>
          <w:rFonts w:ascii="Rokkitt" w:eastAsia="Rokkitt" w:hAnsi="Rokkitt" w:cs="Rokkitt"/>
          <w:b/>
          <w:sz w:val="24"/>
          <w:szCs w:val="24"/>
        </w:rPr>
      </w:pPr>
      <w:r>
        <w:rPr>
          <w:rFonts w:ascii="Rokkitt" w:eastAsia="Rokkitt" w:hAnsi="Rokkitt" w:cs="Rokkitt"/>
          <w:b/>
          <w:sz w:val="24"/>
          <w:szCs w:val="24"/>
        </w:rPr>
        <w:t xml:space="preserve">After </w:t>
      </w:r>
      <w:proofErr w:type="gramStart"/>
      <w:r>
        <w:rPr>
          <w:rFonts w:ascii="Rokkitt" w:eastAsia="Rokkitt" w:hAnsi="Rokkitt" w:cs="Rokkitt"/>
          <w:b/>
          <w:sz w:val="24"/>
          <w:szCs w:val="24"/>
        </w:rPr>
        <w:t>April 22nd</w:t>
      </w:r>
      <w:proofErr w:type="gramEnd"/>
      <w:r>
        <w:rPr>
          <w:rFonts w:ascii="Rokkitt" w:eastAsia="Rokkitt" w:hAnsi="Rokkitt" w:cs="Rokkitt"/>
          <w:b/>
          <w:sz w:val="24"/>
          <w:szCs w:val="24"/>
        </w:rPr>
        <w:t xml:space="preserve"> online and mail-in registration will no longer be available. There will be on-site registration on the day of the event and lunch will be available on a first-come, first-served basis. </w:t>
      </w:r>
    </w:p>
    <w:p w:rsidR="00953A76" w:rsidRDefault="007E27D8">
      <w:pPr>
        <w:widowControl w:val="0"/>
        <w:spacing w:after="0" w:line="240" w:lineRule="auto"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>$45 for educator, parent or community member</w:t>
      </w:r>
    </w:p>
    <w:p w:rsidR="00953A76" w:rsidRDefault="007E27D8">
      <w:pPr>
        <w:spacing w:after="0" w:line="240" w:lineRule="auto"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</w:rPr>
        <w:t xml:space="preserve">$25 for </w:t>
      </w:r>
      <w:r>
        <w:rPr>
          <w:rFonts w:ascii="Rokkitt" w:eastAsia="Rokkitt" w:hAnsi="Rokkitt" w:cs="Rokkitt"/>
          <w:sz w:val="24"/>
          <w:szCs w:val="24"/>
        </w:rPr>
        <w:t>undergraduate or high school students</w:t>
      </w:r>
    </w:p>
    <w:p w:rsidR="00953A76" w:rsidRDefault="00953A76">
      <w:pPr>
        <w:spacing w:after="0" w:line="240" w:lineRule="auto"/>
        <w:rPr>
          <w:rFonts w:ascii="Rokkitt" w:eastAsia="Rokkitt" w:hAnsi="Rokkitt" w:cs="Rokkitt"/>
          <w:b/>
          <w:sz w:val="24"/>
          <w:szCs w:val="24"/>
        </w:rPr>
      </w:pPr>
    </w:p>
    <w:p w:rsidR="00953A76" w:rsidRDefault="007E27D8">
      <w:pPr>
        <w:spacing w:after="0" w:line="240" w:lineRule="auto"/>
        <w:ind w:left="-90"/>
        <w:rPr>
          <w:rFonts w:ascii="Rokkitt" w:eastAsia="Rokkitt" w:hAnsi="Rokkitt" w:cs="Rokkitt"/>
          <w:b/>
          <w:sz w:val="24"/>
          <w:szCs w:val="24"/>
        </w:rPr>
      </w:pPr>
      <w:bookmarkStart w:id="2" w:name="_gib0e44m5rzi" w:colFirst="0" w:colLast="0"/>
      <w:bookmarkEnd w:id="2"/>
      <w:r>
        <w:rPr>
          <w:rFonts w:ascii="Rokkitt" w:eastAsia="Rokkitt" w:hAnsi="Rokkitt" w:cs="Rokkitt"/>
          <w:b/>
          <w:sz w:val="24"/>
          <w:szCs w:val="24"/>
        </w:rPr>
        <w:t>To meet your dietary needs, please indicate if you prefer a gluten-free vegan lunch. Unfortunately, we are not able to accommodate other dietary restrictions.</w:t>
      </w:r>
    </w:p>
    <w:p w:rsidR="00953A76" w:rsidRDefault="00953A76">
      <w:pPr>
        <w:spacing w:after="0" w:line="240" w:lineRule="auto"/>
        <w:rPr>
          <w:rFonts w:ascii="Rokkitt" w:eastAsia="Rokkitt" w:hAnsi="Rokkitt" w:cs="Rokkitt"/>
          <w:b/>
          <w:sz w:val="24"/>
          <w:szCs w:val="24"/>
        </w:rPr>
      </w:pPr>
    </w:p>
    <w:p w:rsidR="00953A76" w:rsidRDefault="007E27D8">
      <w:pPr>
        <w:spacing w:after="0" w:line="240" w:lineRule="auto"/>
        <w:rPr>
          <w:rFonts w:ascii="Rokkitt" w:eastAsia="Rokkitt" w:hAnsi="Rokkitt" w:cs="Rokkitt"/>
          <w:b/>
          <w:sz w:val="24"/>
          <w:szCs w:val="24"/>
        </w:rPr>
      </w:pPr>
      <w:r>
        <w:rPr>
          <w:rFonts w:ascii="Rokkitt" w:eastAsia="Rokkitt" w:hAnsi="Rokkitt" w:cs="Rokkitt"/>
          <w:b/>
          <w:sz w:val="24"/>
          <w:szCs w:val="24"/>
        </w:rPr>
        <w:t xml:space="preserve">______Yes, I would prefer a </w:t>
      </w:r>
      <w:r>
        <w:rPr>
          <w:rFonts w:ascii="Rokkitt" w:eastAsia="Rokkitt" w:hAnsi="Rokkitt" w:cs="Rokkitt"/>
          <w:b/>
          <w:sz w:val="24"/>
          <w:szCs w:val="24"/>
        </w:rPr>
        <w:t>gluten-free vegan</w:t>
      </w:r>
      <w:r>
        <w:rPr>
          <w:rFonts w:ascii="Rokkitt" w:eastAsia="Rokkitt" w:hAnsi="Rokkitt" w:cs="Rokkitt"/>
          <w:b/>
          <w:sz w:val="24"/>
          <w:szCs w:val="24"/>
        </w:rPr>
        <w:t xml:space="preserve"> box lunch</w:t>
      </w:r>
    </w:p>
    <w:p w:rsidR="00953A76" w:rsidRDefault="00953A76">
      <w:pPr>
        <w:jc w:val="center"/>
      </w:pPr>
    </w:p>
    <w:sectPr w:rsidR="00953A76">
      <w:pgSz w:w="12240" w:h="15840"/>
      <w:pgMar w:top="1152" w:right="1440" w:bottom="1152" w:left="11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Rokkit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76"/>
    <w:rsid w:val="007E27D8"/>
    <w:rsid w:val="009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A0EED-D884-4822-97EB-B047618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history.org/whspress/books/book.asp?book_id=2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he.wisc.edu/research-development/centers-of-excellence/uw-center-for-nonprofits" TargetMode="External"/><Relationship Id="rId12" Type="http://schemas.openxmlformats.org/officeDocument/2006/relationships/hyperlink" Target="http://www.ensj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lson.wisc.edu/" TargetMode="External"/><Relationship Id="rId11" Type="http://schemas.openxmlformats.org/officeDocument/2006/relationships/hyperlink" Target="http://www.ensj.weebly.com" TargetMode="External"/><Relationship Id="rId5" Type="http://schemas.openxmlformats.org/officeDocument/2006/relationships/hyperlink" Target="http://amindian.wisc.edu/" TargetMode="External"/><Relationship Id="rId10" Type="http://schemas.openxmlformats.org/officeDocument/2006/relationships/hyperlink" Target="http://www.wisconsinhistory.org/whspress/books/book.asp?book_id=44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isconsinhistory.org/whspress/books/book.asp?book_id=4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Gundry</dc:creator>
  <cp:lastModifiedBy>Judy Gundry</cp:lastModifiedBy>
  <cp:revision>2</cp:revision>
  <dcterms:created xsi:type="dcterms:W3CDTF">2017-04-01T14:54:00Z</dcterms:created>
  <dcterms:modified xsi:type="dcterms:W3CDTF">2017-04-01T14:54:00Z</dcterms:modified>
</cp:coreProperties>
</file>